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tabs>
          <w:tab w:val="left" w:pos="2505"/>
          <w:tab w:val="center" w:pos="4320"/>
        </w:tabs>
        <w:jc w:val="left"/>
        <w:rPr>
          <w:sz w:val="28"/>
          <w:szCs w:val="28"/>
        </w:rPr>
      </w:pPr>
      <w:r>
        <w:drawing>
          <wp:anchor distT="0" distB="0" distL="114300" distR="114300" simplePos="0" relativeHeight="251659264" behindDoc="1" locked="0" layoutInCell="1" allowOverlap="1">
            <wp:simplePos x="0" y="0"/>
            <wp:positionH relativeFrom="column">
              <wp:posOffset>-419100</wp:posOffset>
            </wp:positionH>
            <wp:positionV relativeFrom="paragraph">
              <wp:posOffset>-95250</wp:posOffset>
            </wp:positionV>
            <wp:extent cx="828675" cy="857250"/>
            <wp:effectExtent l="0" t="0" r="0" b="0"/>
            <wp:wrapNone/>
            <wp:docPr id="14" name="Picture 14" descr="BC Seal - Large - 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BC Seal - Large - Original"/>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828675" cy="857250"/>
                    </a:xfrm>
                    <a:prstGeom prst="rect">
                      <a:avLst/>
                    </a:prstGeom>
                    <a:noFill/>
                  </pic:spPr>
                </pic:pic>
              </a:graphicData>
            </a:graphic>
          </wp:anchor>
        </w:drawing>
      </w:r>
      <w:r>
        <w:tab/>
      </w:r>
      <w:r>
        <w:tab/>
      </w:r>
      <w:r>
        <w:rPr>
          <w:sz w:val="28"/>
          <w:szCs w:val="28"/>
        </w:rPr>
        <w:t>Benedict College</w:t>
      </w:r>
    </w:p>
    <w:p>
      <w:pPr>
        <w:pStyle w:val="17"/>
        <w:rPr>
          <w:color w:val="FF0000"/>
        </w:rPr>
      </w:pPr>
      <w:r>
        <w:rPr>
          <w:color w:val="FF0000"/>
        </w:rPr>
        <w:t>Burroughs School of Business and Entrepreneurship</w:t>
      </w:r>
    </w:p>
    <w:p>
      <w:pPr>
        <w:pStyle w:val="17"/>
        <w:rPr>
          <w:color w:val="FF0000"/>
        </w:rPr>
      </w:pPr>
      <w:r>
        <w:rPr>
          <w:color w:val="FF0000"/>
        </w:rPr>
        <w:t>Finance and Accounting</w:t>
      </w:r>
    </w:p>
    <w:p>
      <w:pPr>
        <w:pStyle w:val="17"/>
        <w:rPr>
          <w:rFonts w:hint="default"/>
          <w:lang w:val="en-US"/>
        </w:rPr>
      </w:pPr>
      <w:r>
        <w:rPr>
          <w:rFonts w:hint="default"/>
          <w:lang w:val="en-US"/>
        </w:rPr>
        <w:t>Raymond Lee</w:t>
      </w:r>
    </w:p>
    <w:p>
      <w:pPr>
        <w:pStyle w:val="17"/>
      </w:pPr>
      <w:r>
        <w:t>Course Syllabus</w:t>
      </w:r>
    </w:p>
    <w:p>
      <w:pPr>
        <w:pStyle w:val="17"/>
      </w:pPr>
    </w:p>
    <w:p>
      <w:pPr>
        <w:jc w:val="center"/>
        <w:rPr>
          <w:b/>
          <w:color w:val="FF0000"/>
          <w:sz w:val="36"/>
          <w:szCs w:val="36"/>
        </w:rPr>
      </w:pPr>
      <w:r>
        <w:rPr>
          <w:b/>
          <w:color w:val="FF0000"/>
          <w:sz w:val="36"/>
          <w:szCs w:val="36"/>
        </w:rPr>
        <w:t>Macroeconomics</w:t>
      </w:r>
    </w:p>
    <w:p>
      <w:pPr>
        <w:jc w:val="center"/>
        <w:rPr>
          <w:rFonts w:hint="default"/>
          <w:sz w:val="24"/>
          <w:szCs w:val="24"/>
          <w:lang w:val="en-US"/>
        </w:rPr>
      </w:pPr>
      <w:r>
        <w:rPr>
          <w:b/>
          <w:sz w:val="24"/>
          <w:szCs w:val="24"/>
        </w:rPr>
        <w:t>Course ID:</w:t>
      </w:r>
      <w:r>
        <w:rPr>
          <w:sz w:val="24"/>
          <w:szCs w:val="24"/>
        </w:rPr>
        <w:t xml:space="preserve"> </w:t>
      </w:r>
      <w:r>
        <w:rPr>
          <w:color w:val="C00000"/>
          <w:sz w:val="24"/>
          <w:szCs w:val="24"/>
        </w:rPr>
        <w:t>EC 230</w:t>
      </w:r>
      <w:r>
        <w:rPr>
          <w:rFonts w:hint="default"/>
          <w:color w:val="C00000"/>
          <w:sz w:val="24"/>
          <w:szCs w:val="24"/>
          <w:lang w:val="en-US"/>
        </w:rPr>
        <w:t xml:space="preserve"> 01</w:t>
      </w:r>
      <w:bookmarkStart w:id="0" w:name="_GoBack"/>
      <w:bookmarkEnd w:id="0"/>
    </w:p>
    <w:p>
      <w:pPr>
        <w:pStyle w:val="17"/>
      </w:pPr>
    </w:p>
    <w:p>
      <w:pPr>
        <w:rPr>
          <w:color w:val="FF0000"/>
          <w:sz w:val="24"/>
          <w:szCs w:val="24"/>
        </w:rPr>
      </w:pPr>
      <w:r>
        <w:rPr>
          <w:b/>
          <w:sz w:val="24"/>
          <w:szCs w:val="24"/>
          <w:u w:val="single"/>
        </w:rPr>
        <w:t>Course Catalogue Description</w:t>
      </w:r>
      <w:r>
        <w:rPr>
          <w:sz w:val="24"/>
          <w:szCs w:val="24"/>
        </w:rPr>
        <w:t>: The material covered in this course encompasses the subject matter of macroeconomics or an evaluation of overall economic conditions and the impact on business operation.  Topics include: economic systems measurement, business cycles and growth, unemployment, inflation, money, and the federal reserve system.</w:t>
      </w:r>
    </w:p>
    <w:p>
      <w:pPr>
        <w:rPr>
          <w:color w:val="FF0000"/>
          <w:sz w:val="24"/>
          <w:szCs w:val="24"/>
        </w:rPr>
      </w:pPr>
    </w:p>
    <w:p>
      <w:pPr>
        <w:rPr>
          <w:color w:val="FF0000"/>
          <w:sz w:val="24"/>
        </w:rPr>
      </w:pPr>
      <w:r>
        <w:rPr>
          <w:b/>
          <w:sz w:val="24"/>
          <w:szCs w:val="24"/>
          <w:u w:val="single"/>
        </w:rPr>
        <w:t>Student Learning Outcomes (SLO)</w:t>
      </w:r>
      <w:r>
        <w:rPr>
          <w:sz w:val="24"/>
          <w:szCs w:val="24"/>
        </w:rPr>
        <w:t xml:space="preserve">: This class is built around problem solving.  As such, two SLOs are emphasized: 1) application of economic concepts to address current empirical business and social problems.  Applications will focus on choice evaluation, graphical analysis, and growth, unemployment, and inflation calculations; and 2) this SLO will focus on providing clear and concise interpretations of the results.    </w:t>
      </w:r>
    </w:p>
    <w:p>
      <w:pPr>
        <w:rPr>
          <w:color w:val="FF0000"/>
          <w:sz w:val="24"/>
        </w:rPr>
      </w:pPr>
    </w:p>
    <w:p>
      <w:pPr>
        <w:rPr>
          <w:sz w:val="24"/>
          <w:szCs w:val="24"/>
        </w:rPr>
      </w:pPr>
      <w:r>
        <w:rPr>
          <w:b/>
          <w:sz w:val="24"/>
          <w:szCs w:val="24"/>
          <w:u w:val="single"/>
        </w:rPr>
        <w:t>Course Requirements</w:t>
      </w:r>
      <w:r>
        <w:rPr>
          <w:sz w:val="24"/>
          <w:szCs w:val="24"/>
        </w:rPr>
        <w:t xml:space="preserve">:  </w:t>
      </w:r>
    </w:p>
    <w:p>
      <w:pPr>
        <w:numPr>
          <w:ilvl w:val="0"/>
          <w:numId w:val="1"/>
        </w:numPr>
        <w:rPr>
          <w:color w:val="FF0000"/>
        </w:rPr>
      </w:pPr>
      <w:r>
        <w:rPr>
          <w:sz w:val="24"/>
          <w:szCs w:val="24"/>
        </w:rPr>
        <w:t xml:space="preserve"> </w:t>
      </w:r>
      <w:r>
        <w:rPr>
          <w:b/>
          <w:sz w:val="24"/>
          <w:szCs w:val="24"/>
        </w:rPr>
        <w:t>Required Text</w:t>
      </w:r>
      <w:r>
        <w:rPr>
          <w:sz w:val="24"/>
          <w:szCs w:val="24"/>
        </w:rPr>
        <w:t xml:space="preserve">: Book issued through the campus book store </w:t>
      </w:r>
    </w:p>
    <w:p>
      <w:pPr>
        <w:numPr>
          <w:ilvl w:val="0"/>
          <w:numId w:val="1"/>
        </w:numPr>
        <w:rPr>
          <w:color w:val="FF0000"/>
        </w:rPr>
      </w:pPr>
      <w:r>
        <w:rPr>
          <w:color w:val="C00000"/>
          <w:sz w:val="24"/>
          <w:szCs w:val="24"/>
        </w:rPr>
        <w:t>Calculator that can handle exponentials or science problems</w:t>
      </w:r>
    </w:p>
    <w:p>
      <w:pPr>
        <w:numPr>
          <w:ilvl w:val="0"/>
          <w:numId w:val="1"/>
        </w:numPr>
        <w:rPr>
          <w:color w:val="FF0000"/>
        </w:rPr>
      </w:pPr>
      <w:r>
        <w:rPr>
          <w:b/>
          <w:sz w:val="24"/>
          <w:szCs w:val="24"/>
        </w:rPr>
        <w:t>Edvance360 Information</w:t>
      </w:r>
    </w:p>
    <w:p>
      <w:pPr>
        <w:rPr>
          <w:b/>
          <w:bCs/>
          <w:szCs w:val="24"/>
        </w:rPr>
      </w:pPr>
    </w:p>
    <w:p>
      <w:pPr>
        <w:rPr>
          <w:color w:val="C00000"/>
        </w:rPr>
      </w:pPr>
      <w:r>
        <w:rPr>
          <w:b/>
          <w:sz w:val="24"/>
          <w:szCs w:val="24"/>
          <w:u w:val="single"/>
        </w:rPr>
        <w:t>Method of Instruction</w:t>
      </w:r>
      <w:r>
        <w:rPr>
          <w:sz w:val="24"/>
          <w:szCs w:val="24"/>
        </w:rPr>
        <w:t xml:space="preserve">: Instruction methods include: 1) some lectures to present new concepts that provide options for applications; 2) group work (presentations, quizzes, and in-class assignments) designed to help students share information with one another; and 3) individual quizzes, and problem sets. </w:t>
      </w:r>
      <w:r>
        <w:rPr>
          <w:sz w:val="24"/>
          <w:szCs w:val="24"/>
          <w:lang w:val="en-US"/>
        </w:rPr>
        <w:t>There also will be some independent projects done outside of class to substitute for some class sessions.</w:t>
      </w:r>
      <w:r>
        <w:rPr>
          <w:sz w:val="24"/>
          <w:szCs w:val="24"/>
        </w:rPr>
        <w:t xml:space="preserve"> </w:t>
      </w:r>
    </w:p>
    <w:p>
      <w:pPr>
        <w:rPr>
          <w:color w:val="C00000"/>
          <w:sz w:val="24"/>
          <w:szCs w:val="24"/>
        </w:rPr>
      </w:pPr>
    </w:p>
    <w:p>
      <w:pPr>
        <w:rPr>
          <w:color w:val="C00000"/>
          <w:sz w:val="24"/>
          <w:szCs w:val="24"/>
          <w:lang w:val="en-US"/>
        </w:rPr>
      </w:pPr>
      <w:r>
        <w:rPr>
          <w:b/>
          <w:sz w:val="24"/>
          <w:szCs w:val="24"/>
          <w:u w:val="single"/>
        </w:rPr>
        <w:t>Course Evaluation</w:t>
      </w:r>
      <w:r>
        <w:rPr>
          <w:sz w:val="24"/>
          <w:szCs w:val="24"/>
        </w:rPr>
        <w:t xml:space="preserve">:  </w:t>
      </w:r>
      <w:r>
        <w:rPr>
          <w:bCs/>
          <w:sz w:val="24"/>
          <w:szCs w:val="24"/>
        </w:rPr>
        <w:t xml:space="preserve">Students will be evaluated using and the following tools and grading scales (please note that emphasis is placed on measuring productivity and proficiency, not intelligence, as a means of assessment. </w:t>
      </w:r>
      <w:r>
        <w:rPr>
          <w:color w:val="C00000"/>
          <w:sz w:val="24"/>
          <w:szCs w:val="24"/>
        </w:rPr>
        <w:t xml:space="preserve"> There will be roughly 8 assignments in which each assignment will have equal weight and each assignment will be worth 100 points.</w:t>
      </w:r>
      <w:r>
        <w:rPr>
          <w:color w:val="C00000"/>
          <w:sz w:val="24"/>
          <w:szCs w:val="24"/>
          <w:lang w:val="en-US"/>
        </w:rPr>
        <w:t xml:space="preserve"> PLEASE NOTE THAT LATE WORK WILL NOT BE ACCEPTED WITHOUT AN OFFICIAL COLLEGE EXCUSE; NO EXCEPTIONS!!</w:t>
      </w:r>
    </w:p>
    <w:p>
      <w:pPr>
        <w:rPr>
          <w:color w:val="C00000"/>
          <w:sz w:val="24"/>
          <w:szCs w:val="24"/>
        </w:rPr>
      </w:pPr>
      <w:r>
        <w:rPr>
          <w:color w:val="C00000"/>
          <w:sz w:val="24"/>
          <w:szCs w:val="24"/>
        </w:rPr>
        <w:t xml:space="preserve"> </w:t>
      </w:r>
    </w:p>
    <w:p>
      <w:pPr>
        <w:rPr>
          <w:sz w:val="24"/>
          <w:szCs w:val="24"/>
        </w:rPr>
      </w:pPr>
      <w:r>
        <w:rPr>
          <w:sz w:val="24"/>
          <w:szCs w:val="24"/>
        </w:rPr>
        <w:t>Benedict College Grading Scale:</w:t>
      </w:r>
    </w:p>
    <w:p>
      <w:pPr>
        <w:rPr>
          <w:sz w:val="24"/>
          <w:szCs w:val="24"/>
        </w:rPr>
      </w:pPr>
      <w:r>
        <w:rPr>
          <w:sz w:val="24"/>
          <w:szCs w:val="24"/>
        </w:rPr>
        <w:t>A</w:t>
      </w:r>
      <w:r>
        <w:rPr>
          <w:sz w:val="24"/>
          <w:szCs w:val="24"/>
        </w:rPr>
        <w:tab/>
      </w:r>
      <w:r>
        <w:rPr>
          <w:sz w:val="24"/>
          <w:szCs w:val="24"/>
        </w:rPr>
        <w:t>Superior</w:t>
      </w:r>
      <w:r>
        <w:rPr>
          <w:sz w:val="24"/>
          <w:szCs w:val="24"/>
        </w:rPr>
        <w:tab/>
      </w:r>
      <w:r>
        <w:rPr>
          <w:sz w:val="24"/>
          <w:szCs w:val="24"/>
        </w:rPr>
        <w:tab/>
      </w:r>
      <w:r>
        <w:rPr>
          <w:sz w:val="24"/>
          <w:szCs w:val="24"/>
        </w:rPr>
        <w:t>90 – 100 (all assignments submitted with high quality)</w:t>
      </w:r>
    </w:p>
    <w:p>
      <w:pPr>
        <w:rPr>
          <w:sz w:val="24"/>
          <w:szCs w:val="24"/>
        </w:rPr>
      </w:pPr>
      <w:r>
        <w:rPr>
          <w:sz w:val="24"/>
          <w:szCs w:val="24"/>
        </w:rPr>
        <w:t>B</w:t>
      </w:r>
      <w:r>
        <w:rPr>
          <w:sz w:val="24"/>
          <w:szCs w:val="24"/>
        </w:rPr>
        <w:tab/>
      </w:r>
      <w:r>
        <w:rPr>
          <w:sz w:val="24"/>
          <w:szCs w:val="24"/>
        </w:rPr>
        <w:t>Very Good</w:t>
      </w:r>
      <w:r>
        <w:rPr>
          <w:sz w:val="24"/>
          <w:szCs w:val="24"/>
        </w:rPr>
        <w:tab/>
      </w:r>
      <w:r>
        <w:rPr>
          <w:sz w:val="24"/>
          <w:szCs w:val="24"/>
        </w:rPr>
        <w:tab/>
      </w:r>
      <w:r>
        <w:rPr>
          <w:sz w:val="24"/>
          <w:szCs w:val="24"/>
        </w:rPr>
        <w:t>80 – 89 (all assignments submitted with less quality)</w:t>
      </w:r>
    </w:p>
    <w:p>
      <w:pPr>
        <w:rPr>
          <w:sz w:val="24"/>
          <w:szCs w:val="24"/>
        </w:rPr>
      </w:pPr>
      <w:r>
        <w:rPr>
          <w:sz w:val="24"/>
          <w:szCs w:val="24"/>
        </w:rPr>
        <w:t>C</w:t>
      </w:r>
      <w:r>
        <w:rPr>
          <w:sz w:val="24"/>
          <w:szCs w:val="24"/>
        </w:rPr>
        <w:tab/>
      </w:r>
      <w:r>
        <w:rPr>
          <w:sz w:val="24"/>
          <w:szCs w:val="24"/>
        </w:rPr>
        <w:t>Acceptable</w:t>
      </w:r>
      <w:r>
        <w:rPr>
          <w:sz w:val="24"/>
          <w:szCs w:val="24"/>
        </w:rPr>
        <w:tab/>
      </w:r>
      <w:r>
        <w:rPr>
          <w:sz w:val="24"/>
          <w:szCs w:val="24"/>
        </w:rPr>
        <w:tab/>
      </w:r>
      <w:r>
        <w:rPr>
          <w:sz w:val="24"/>
          <w:szCs w:val="24"/>
        </w:rPr>
        <w:t>70 – 79 (all assignments submitted at acceptable quality)</w:t>
      </w:r>
    </w:p>
    <w:p>
      <w:pPr>
        <w:rPr>
          <w:sz w:val="24"/>
          <w:szCs w:val="24"/>
        </w:rPr>
      </w:pPr>
      <w:r>
        <w:rPr>
          <w:sz w:val="24"/>
          <w:szCs w:val="24"/>
        </w:rPr>
        <w:t>D</w:t>
      </w:r>
      <w:r>
        <w:rPr>
          <w:sz w:val="24"/>
          <w:szCs w:val="24"/>
        </w:rPr>
        <w:tab/>
      </w:r>
      <w:r>
        <w:rPr>
          <w:sz w:val="24"/>
          <w:szCs w:val="24"/>
        </w:rPr>
        <w:t>Passing but Weak</w:t>
      </w:r>
      <w:r>
        <w:rPr>
          <w:sz w:val="24"/>
          <w:szCs w:val="24"/>
        </w:rPr>
        <w:tab/>
      </w:r>
      <w:r>
        <w:rPr>
          <w:sz w:val="24"/>
          <w:szCs w:val="24"/>
        </w:rPr>
        <w:t>60 – 69 (missing assignments and low quality)</w:t>
      </w:r>
    </w:p>
    <w:p>
      <w:pPr>
        <w:rPr>
          <w:sz w:val="24"/>
          <w:szCs w:val="24"/>
        </w:rPr>
      </w:pPr>
      <w:r>
        <w:rPr>
          <w:sz w:val="24"/>
          <w:szCs w:val="24"/>
        </w:rPr>
        <w:t>F</w:t>
      </w:r>
      <w:r>
        <w:rPr>
          <w:sz w:val="24"/>
          <w:szCs w:val="24"/>
        </w:rPr>
        <w:tab/>
      </w:r>
      <w:r>
        <w:rPr>
          <w:sz w:val="24"/>
          <w:szCs w:val="24"/>
        </w:rPr>
        <w:t>Unsatisfactory</w:t>
      </w:r>
      <w:r>
        <w:rPr>
          <w:sz w:val="24"/>
          <w:szCs w:val="24"/>
        </w:rPr>
        <w:tab/>
      </w:r>
      <w:r>
        <w:rPr>
          <w:sz w:val="24"/>
          <w:szCs w:val="24"/>
        </w:rPr>
        <w:t xml:space="preserve">            Below 60 (missing assignments/unacceptable quality)</w:t>
      </w:r>
    </w:p>
    <w:p>
      <w:pPr>
        <w:rPr>
          <w:sz w:val="24"/>
          <w:szCs w:val="24"/>
        </w:rPr>
      </w:pPr>
      <w:r>
        <w:rPr>
          <w:sz w:val="24"/>
          <w:szCs w:val="24"/>
        </w:rPr>
        <w:t>* Some courses require a grade of “C” as the passing grade.</w:t>
      </w:r>
    </w:p>
    <w:p>
      <w:pPr>
        <w:rPr>
          <w:b/>
          <w:sz w:val="32"/>
          <w:u w:val="single"/>
        </w:rPr>
      </w:pPr>
    </w:p>
    <w:p>
      <w:pPr>
        <w:rPr>
          <w:smallCaps/>
          <w:sz w:val="24"/>
          <w:szCs w:val="24"/>
        </w:rPr>
      </w:pPr>
      <w:r>
        <w:rPr>
          <w:b/>
          <w:smallCaps/>
          <w:sz w:val="24"/>
          <w:szCs w:val="24"/>
        </w:rPr>
        <w:t>College/Class Policies</w:t>
      </w:r>
      <w:r>
        <w:rPr>
          <w:smallCaps/>
          <w:sz w:val="24"/>
          <w:szCs w:val="24"/>
        </w:rPr>
        <w:t xml:space="preserve">: </w:t>
      </w:r>
    </w:p>
    <w:p>
      <w:pPr>
        <w:rPr>
          <w:smallCaps/>
          <w:sz w:val="24"/>
          <w:szCs w:val="24"/>
        </w:rPr>
      </w:pPr>
      <w:r>
        <w:rPr>
          <w:smallCaps/>
          <w:sz w:val="24"/>
          <w:szCs w:val="24"/>
        </w:rPr>
        <w:t xml:space="preserve"> </w:t>
      </w:r>
    </w:p>
    <w:p>
      <w:pPr>
        <w:rPr>
          <w:sz w:val="24"/>
          <w:szCs w:val="24"/>
        </w:rPr>
      </w:pPr>
      <w:r>
        <w:rPr>
          <w:b/>
          <w:smallCaps/>
          <w:sz w:val="24"/>
          <w:szCs w:val="24"/>
        </w:rPr>
        <w:t>Student Code of Academic Responsibility</w:t>
      </w:r>
      <w:r>
        <w:rPr>
          <w:smallCaps/>
          <w:sz w:val="24"/>
          <w:szCs w:val="24"/>
        </w:rPr>
        <w:t>:</w:t>
      </w:r>
      <w:r>
        <w:rPr>
          <w:sz w:val="24"/>
          <w:szCs w:val="24"/>
        </w:rPr>
        <w:t xml:space="preserve"> </w:t>
      </w:r>
    </w:p>
    <w:p>
      <w:pPr>
        <w:jc w:val="both"/>
        <w:rPr>
          <w:i/>
          <w:sz w:val="24"/>
          <w:szCs w:val="24"/>
        </w:rPr>
      </w:pPr>
      <w:r>
        <w:rPr>
          <w:sz w:val="24"/>
          <w:szCs w:val="24"/>
        </w:rPr>
        <w:t xml:space="preserve"> </w:t>
      </w:r>
      <w:r>
        <w:rPr>
          <w:i/>
          <w:sz w:val="24"/>
          <w:szCs w:val="24"/>
        </w:rPr>
        <w:t xml:space="preserve">Strength of character is as important as academic achievement; therefore, the College expects everyone in the academic community to maintain personal integrity and avoid any conduct designed to gain unfair advantage in obtaining a grade.  Academic dishonesty may include but is not limited to plagiarism, cheating, falsification of records, and collusion with others to defraud.  Any student found guilty of academic dishonesty will be subject to disciplinary action which may include loss of credit, suspension, or dismissal. </w:t>
      </w:r>
    </w:p>
    <w:p>
      <w:pPr>
        <w:ind w:left="720"/>
        <w:jc w:val="both"/>
      </w:pPr>
      <w:r>
        <w:rPr>
          <w:sz w:val="24"/>
          <w:szCs w:val="24"/>
        </w:rPr>
        <w:tab/>
      </w:r>
      <w:r>
        <w:rPr>
          <w:sz w:val="24"/>
          <w:szCs w:val="24"/>
        </w:rPr>
        <w:tab/>
      </w:r>
      <w:r>
        <w:rPr>
          <w:sz w:val="24"/>
          <w:szCs w:val="24"/>
        </w:rPr>
        <w:tab/>
      </w:r>
      <w:r>
        <w:rPr>
          <w:sz w:val="24"/>
          <w:szCs w:val="24"/>
        </w:rPr>
        <w:tab/>
      </w:r>
      <w:r>
        <w:rPr>
          <w:sz w:val="24"/>
          <w:szCs w:val="24"/>
        </w:rPr>
        <w:t>-Benedict College Academic Catalogue 2015-17</w:t>
      </w:r>
    </w:p>
    <w:p>
      <w:pPr>
        <w:ind w:left="720"/>
        <w:rPr>
          <w:sz w:val="24"/>
          <w:szCs w:val="24"/>
          <w:u w:val="single"/>
        </w:rPr>
      </w:pPr>
    </w:p>
    <w:p>
      <w:pPr>
        <w:rPr>
          <w:sz w:val="24"/>
          <w:szCs w:val="24"/>
        </w:rPr>
      </w:pPr>
      <w:r>
        <w:rPr>
          <w:b/>
          <w:smallCaps/>
          <w:sz w:val="24"/>
          <w:szCs w:val="24"/>
        </w:rPr>
        <w:t>Dress Code:</w:t>
      </w:r>
      <w:r>
        <w:rPr>
          <w:b/>
          <w:sz w:val="24"/>
          <w:szCs w:val="24"/>
        </w:rPr>
        <w:t xml:space="preserve">  </w:t>
      </w:r>
    </w:p>
    <w:p>
      <w:pPr>
        <w:pStyle w:val="14"/>
        <w:rPr>
          <w:i/>
          <w:szCs w:val="18"/>
        </w:rPr>
      </w:pPr>
      <w:r>
        <w:rPr>
          <w:i/>
          <w:szCs w:val="18"/>
        </w:rPr>
        <w:t>Students' dress at Benedict College should reflect high standards of personal self-image so that each student may share in promoting a positive, healthy and safe atmosphere within the College community. The dress code is limited in time and place to College functions and educational facilities, including classrooms, the Cafeteria, the Campus Center and the Chapel. Students are expected to follow the Benedict College Dress Code.</w:t>
      </w:r>
    </w:p>
    <w:p>
      <w:pPr>
        <w:ind w:left="720"/>
        <w:rPr>
          <w:b/>
          <w:smallCaps/>
          <w:sz w:val="24"/>
          <w:szCs w:val="24"/>
        </w:rPr>
      </w:pPr>
    </w:p>
    <w:p>
      <w:pPr>
        <w:pStyle w:val="14"/>
        <w:shd w:val="clear" w:color="auto" w:fill="FFFFFF"/>
        <w:spacing w:before="0" w:beforeAutospacing="0" w:after="0" w:afterAutospacing="0"/>
        <w:rPr>
          <w:b/>
          <w:bCs/>
          <w:color w:val="000000"/>
        </w:rPr>
      </w:pPr>
      <w:r>
        <w:rPr>
          <w:b/>
          <w:bCs/>
          <w:color w:val="000000"/>
        </w:rPr>
        <w:t>Special Student Services:</w:t>
      </w:r>
    </w:p>
    <w:p>
      <w:pPr>
        <w:pStyle w:val="14"/>
        <w:shd w:val="clear" w:color="auto" w:fill="FFFFFF"/>
        <w:spacing w:before="0" w:beforeAutospacing="0" w:after="0" w:afterAutospacing="0"/>
        <w:rPr>
          <w:color w:val="000000"/>
        </w:rPr>
      </w:pPr>
    </w:p>
    <w:p>
      <w:pPr>
        <w:pStyle w:val="14"/>
        <w:shd w:val="clear" w:color="auto" w:fill="FFFFFF"/>
        <w:spacing w:before="0" w:beforeAutospacing="0" w:after="0" w:afterAutospacing="0"/>
        <w:rPr>
          <w:color w:val="000000"/>
        </w:rPr>
      </w:pPr>
      <w:r>
        <w:rPr>
          <w:i/>
          <w:iCs/>
          <w:color w:val="000000"/>
        </w:rPr>
        <w:t>The Office of Special Student Services provides reasonable assistance and services for students who are in need of special accommodations that will aid in achieving academic success resulting from a physical, psychological, medical, or learning disability. A disability has to be identified in writing and filed in the Office of Special Student Services. Some of the services are as follows: Peer tutoring; Reader services; and tape recorders and tapes to record classroom lectures. The unit also makes referrals to agencies providing external funding; and Learning opportunities through Work-Study, and Service-Learning.</w:t>
      </w:r>
    </w:p>
    <w:p>
      <w:pPr>
        <w:ind w:left="720"/>
        <w:rPr>
          <w:sz w:val="18"/>
          <w:szCs w:val="24"/>
          <w:u w:val="single"/>
        </w:rPr>
      </w:pPr>
    </w:p>
    <w:p>
      <w:pPr>
        <w:rPr>
          <w:sz w:val="24"/>
          <w:szCs w:val="24"/>
        </w:rPr>
      </w:pPr>
      <w:r>
        <w:rPr>
          <w:b/>
          <w:smallCaps/>
          <w:sz w:val="24"/>
          <w:szCs w:val="24"/>
        </w:rPr>
        <w:t>Class Attendance (Excused Absences)</w:t>
      </w:r>
      <w:r>
        <w:rPr>
          <w:smallCaps/>
          <w:sz w:val="24"/>
          <w:szCs w:val="24"/>
        </w:rPr>
        <w:t>:</w:t>
      </w:r>
      <w:r>
        <w:rPr>
          <w:sz w:val="24"/>
          <w:szCs w:val="24"/>
        </w:rPr>
        <w:t xml:space="preserve">  </w:t>
      </w:r>
    </w:p>
    <w:p>
      <w:pPr>
        <w:ind w:left="720"/>
        <w:rPr>
          <w:color w:val="C00000"/>
          <w:sz w:val="12"/>
          <w:szCs w:val="24"/>
        </w:rPr>
      </w:pPr>
    </w:p>
    <w:p>
      <w:pPr>
        <w:pStyle w:val="14"/>
        <w:shd w:val="clear" w:color="auto" w:fill="FFFFFF"/>
        <w:spacing w:before="0" w:beforeAutospacing="0" w:after="0" w:afterAutospacing="0" w:line="220" w:lineRule="exact"/>
        <w:jc w:val="both"/>
        <w:rPr>
          <w:i/>
          <w:color w:val="000000"/>
          <w:szCs w:val="28"/>
        </w:rPr>
      </w:pPr>
      <w:r>
        <w:rPr>
          <w:i/>
          <w:color w:val="000000"/>
          <w:szCs w:val="28"/>
        </w:rPr>
        <w:t xml:space="preserve">Students may secure an official excuse for class absences caused by school sponsored extracurricular activities, personal illness, death in family, severe family illness, and court summons (not incarceration). Excuses may be obtained in the Office of Student Affairs in the Administration Building, Room 100. Satisfactory documentation is required. Satisfactory documentation must be in the form of an “official” document of the issuing agency. That is, an official seal, letterhead and signature must appear on the document. Absolutely no copies will be accepted as satisfactory documentation. Any evidence of alteration of an official document will not be accepted, and the student may be subject to the appropriate disciplinary actions if alteration of the official document is proved. </w:t>
      </w:r>
      <w:r>
        <w:rPr>
          <w:rStyle w:val="15"/>
          <w:i/>
          <w:color w:val="000000"/>
          <w:szCs w:val="28"/>
        </w:rPr>
        <w:t>(Notes from relatives, friends, etc., are not</w:t>
      </w:r>
      <w:r>
        <w:rPr>
          <w:i/>
          <w:color w:val="000000"/>
          <w:szCs w:val="28"/>
        </w:rPr>
        <w:t xml:space="preserve"> </w:t>
      </w:r>
      <w:r>
        <w:rPr>
          <w:rStyle w:val="15"/>
          <w:i/>
          <w:color w:val="000000"/>
          <w:szCs w:val="28"/>
        </w:rPr>
        <w:t xml:space="preserve">accepted as "official" documentation for absences.) </w:t>
      </w:r>
      <w:r>
        <w:rPr>
          <w:i/>
          <w:color w:val="000000"/>
          <w:szCs w:val="28"/>
        </w:rPr>
        <w:t>The Student Health Center is delegated to issue excuses to students who receive services from the Student Health Center staff based on the students’ health assessment.</w:t>
      </w:r>
    </w:p>
    <w:p>
      <w:pPr>
        <w:pStyle w:val="14"/>
        <w:shd w:val="clear" w:color="auto" w:fill="FFFFFF"/>
        <w:spacing w:before="0" w:beforeAutospacing="0" w:after="0" w:afterAutospacing="0" w:line="220" w:lineRule="exact"/>
        <w:jc w:val="both"/>
        <w:rPr>
          <w:i/>
          <w:color w:val="000000"/>
          <w:szCs w:val="28"/>
        </w:rPr>
      </w:pPr>
    </w:p>
    <w:p>
      <w:pPr>
        <w:rPr>
          <w:b/>
          <w:color w:val="FF0000"/>
          <w:sz w:val="24"/>
          <w:u w:val="single"/>
        </w:rPr>
      </w:pPr>
      <w:r>
        <w:rPr>
          <w:b/>
          <w:color w:val="FF0000"/>
          <w:sz w:val="24"/>
          <w:u w:val="single"/>
        </w:rPr>
        <w:t xml:space="preserve">It is hoped that every student is responsible and caring enough to attend class every day.  However, in the event that a student accumulates more than five (5) absences, it will be assumed that that student may have some type of problem.  At this point I will address the issue as a way to understand the problem and also as a way to resolve it. </w:t>
      </w:r>
    </w:p>
    <w:p>
      <w:pPr>
        <w:rPr>
          <w:b/>
          <w:color w:val="FF0000"/>
          <w:sz w:val="24"/>
          <w:u w:val="single"/>
        </w:rPr>
      </w:pPr>
    </w:p>
    <w:p>
      <w:pPr>
        <w:rPr>
          <w:b/>
          <w:color w:val="FF0000"/>
          <w:sz w:val="24"/>
          <w:u w:val="single"/>
        </w:rPr>
      </w:pPr>
      <w:r>
        <w:rPr>
          <w:b/>
          <w:color w:val="FF0000"/>
          <w:sz w:val="24"/>
          <w:u w:val="single"/>
        </w:rPr>
        <w:t>Use Of Electronics In Class: Will Discuss.</w:t>
      </w:r>
    </w:p>
    <w:p>
      <w:pPr>
        <w:rPr>
          <w:b/>
          <w:color w:val="FF0000"/>
          <w:sz w:val="24"/>
          <w:u w:val="single"/>
        </w:rPr>
      </w:pPr>
    </w:p>
    <w:p>
      <w:pPr>
        <w:rPr>
          <w:b/>
          <w:color w:val="FF0000"/>
          <w:sz w:val="24"/>
          <w:u w:val="single"/>
        </w:rPr>
      </w:pPr>
      <w:r>
        <w:rPr>
          <w:b/>
          <w:color w:val="FF0000"/>
          <w:sz w:val="24"/>
          <w:u w:val="single"/>
        </w:rPr>
        <w:t>Complaint Protocol: If there is a problem with a professor, the student should first attempt to resolve the issue with that professor.  Will Discuss Further.</w:t>
      </w:r>
    </w:p>
    <w:p>
      <w:pPr>
        <w:rPr>
          <w:b/>
          <w:color w:val="FF0000"/>
          <w:sz w:val="24"/>
          <w:u w:val="single"/>
        </w:rPr>
      </w:pPr>
    </w:p>
    <w:p>
      <w:pPr>
        <w:rPr>
          <w:b/>
          <w:color w:val="FF0000"/>
          <w:sz w:val="24"/>
          <w:u w:val="single"/>
        </w:rPr>
      </w:pPr>
      <w:r>
        <w:rPr>
          <w:b/>
          <w:color w:val="FF0000"/>
          <w:sz w:val="24"/>
          <w:u w:val="single"/>
        </w:rPr>
        <w:t>Attending Class Under The Influence Of Some Substance: Will Discuss.</w:t>
      </w:r>
    </w:p>
    <w:p>
      <w:pPr>
        <w:rPr>
          <w:b/>
          <w:color w:val="FF0000"/>
          <w:sz w:val="24"/>
        </w:rPr>
      </w:pPr>
      <w:r>
        <w:rPr>
          <w:b/>
          <w:color w:val="FF0000"/>
          <w:sz w:val="24"/>
        </w:rPr>
        <w:t xml:space="preserve"> </w:t>
      </w:r>
    </w:p>
    <w:p>
      <w:pPr>
        <w:rPr>
          <w:b/>
          <w:color w:val="FF0000"/>
          <w:sz w:val="24"/>
        </w:rPr>
      </w:pPr>
    </w:p>
    <w:p>
      <w:pPr>
        <w:rPr>
          <w:b/>
          <w:color w:val="FF0000"/>
          <w:sz w:val="24"/>
        </w:rPr>
      </w:pPr>
    </w:p>
    <w:p>
      <w:pPr>
        <w:rPr>
          <w:sz w:val="32"/>
        </w:rPr>
      </w:pPr>
    </w:p>
    <w:sectPr>
      <w:footerReference r:id="rId4" w:type="first"/>
      <w:footerReference r:id="rId3" w:type="default"/>
      <w:pgSz w:w="12240" w:h="15840"/>
      <w:pgMar w:top="720" w:right="1800" w:bottom="907" w:left="1800" w:header="720" w:footer="720" w:gutter="0"/>
      <w:cols w:space="720" w:num="1"/>
      <w:titlePg/>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right"/>
      <w:rPr>
        <w:rFonts w:ascii="Cambria" w:hAnsi="Cambria"/>
        <w:sz w:val="28"/>
        <w:szCs w:val="28"/>
      </w:rPr>
    </w:pPr>
    <w:r>
      <w:rPr>
        <w:rFonts w:ascii="Cambria" w:hAnsi="Cambria"/>
        <w:sz w:val="28"/>
        <w:szCs w:val="28"/>
      </w:rPr>
      <w:t xml:space="preserve">pg. </w:t>
    </w:r>
    <w:r>
      <w:fldChar w:fldCharType="begin"/>
    </w:r>
    <w:r>
      <w:instrText xml:space="preserve"> PAGE    \* MERGEFORMAT </w:instrText>
    </w:r>
    <w:r>
      <w:fldChar w:fldCharType="separate"/>
    </w:r>
    <w:r>
      <w:rPr>
        <w:rFonts w:ascii="Cambria" w:hAnsi="Cambria"/>
        <w:sz w:val="28"/>
        <w:szCs w:val="28"/>
      </w:rPr>
      <w:t>3</w:t>
    </w:r>
    <w:r>
      <w:rPr>
        <w:rFonts w:ascii="Cambria" w:hAnsi="Cambria"/>
        <w:sz w:val="28"/>
        <w:szCs w:val="28"/>
      </w:rPr>
      <w:fldChar w:fldCharType="end"/>
    </w: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t>1600 Harden St., Columbia, S.C.  29204</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D802F4"/>
    <w:multiLevelType w:val="multilevel"/>
    <w:tmpl w:val="16D802F4"/>
    <w:lvl w:ilvl="0" w:tentative="0">
      <w:start w:val="1"/>
      <w:numFmt w:val="decimal"/>
      <w:lvlText w:val="%1."/>
      <w:lvlJc w:val="left"/>
      <w:pPr>
        <w:ind w:left="720" w:hanging="360"/>
      </w:pPr>
      <w:rPr>
        <w:rFonts w:hint="default"/>
        <w:color w:val="auto"/>
        <w:sz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00"/>
  <w:displayHorizontalDrawingGridEvery w:val="0"/>
  <w:displayVerticalDrawingGridEvery w:val="0"/>
  <w:noPunctuationKerning w:val="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C78"/>
    <w:rsid w:val="00011087"/>
    <w:rsid w:val="000245D9"/>
    <w:rsid w:val="000349C2"/>
    <w:rsid w:val="00037040"/>
    <w:rsid w:val="00043371"/>
    <w:rsid w:val="0004568A"/>
    <w:rsid w:val="00097768"/>
    <w:rsid w:val="000A7853"/>
    <w:rsid w:val="000E52ED"/>
    <w:rsid w:val="000F1B7C"/>
    <w:rsid w:val="001009D7"/>
    <w:rsid w:val="00102C78"/>
    <w:rsid w:val="00105287"/>
    <w:rsid w:val="00121D14"/>
    <w:rsid w:val="001327C6"/>
    <w:rsid w:val="00137A73"/>
    <w:rsid w:val="00145B16"/>
    <w:rsid w:val="00146F5C"/>
    <w:rsid w:val="00165496"/>
    <w:rsid w:val="00170990"/>
    <w:rsid w:val="00180919"/>
    <w:rsid w:val="00187D30"/>
    <w:rsid w:val="001A2D0B"/>
    <w:rsid w:val="001A46D1"/>
    <w:rsid w:val="001D1B14"/>
    <w:rsid w:val="001E6338"/>
    <w:rsid w:val="00225A39"/>
    <w:rsid w:val="00226B98"/>
    <w:rsid w:val="00260C4C"/>
    <w:rsid w:val="0029465E"/>
    <w:rsid w:val="002A3DDF"/>
    <w:rsid w:val="002D6D4E"/>
    <w:rsid w:val="002E07FD"/>
    <w:rsid w:val="00330BDE"/>
    <w:rsid w:val="00333705"/>
    <w:rsid w:val="00364EB2"/>
    <w:rsid w:val="0037391D"/>
    <w:rsid w:val="003739E2"/>
    <w:rsid w:val="003837C3"/>
    <w:rsid w:val="00385F39"/>
    <w:rsid w:val="00390427"/>
    <w:rsid w:val="00394809"/>
    <w:rsid w:val="003B0AFE"/>
    <w:rsid w:val="003B37AC"/>
    <w:rsid w:val="003C333A"/>
    <w:rsid w:val="004038E8"/>
    <w:rsid w:val="00414D07"/>
    <w:rsid w:val="004452E4"/>
    <w:rsid w:val="0045091C"/>
    <w:rsid w:val="00471674"/>
    <w:rsid w:val="00480EDA"/>
    <w:rsid w:val="00483027"/>
    <w:rsid w:val="004A626C"/>
    <w:rsid w:val="004B037C"/>
    <w:rsid w:val="004B2C48"/>
    <w:rsid w:val="004F58A7"/>
    <w:rsid w:val="00527C25"/>
    <w:rsid w:val="0053238F"/>
    <w:rsid w:val="0053635C"/>
    <w:rsid w:val="0054721A"/>
    <w:rsid w:val="00547AF4"/>
    <w:rsid w:val="005622D5"/>
    <w:rsid w:val="00587DDC"/>
    <w:rsid w:val="005A6947"/>
    <w:rsid w:val="005B097F"/>
    <w:rsid w:val="005C18C6"/>
    <w:rsid w:val="005C274A"/>
    <w:rsid w:val="005C7B27"/>
    <w:rsid w:val="005E1F20"/>
    <w:rsid w:val="005F524B"/>
    <w:rsid w:val="00642B67"/>
    <w:rsid w:val="00644634"/>
    <w:rsid w:val="006605BC"/>
    <w:rsid w:val="00665A7D"/>
    <w:rsid w:val="00675D1D"/>
    <w:rsid w:val="00677133"/>
    <w:rsid w:val="00686FE1"/>
    <w:rsid w:val="006B4C3F"/>
    <w:rsid w:val="006C6E62"/>
    <w:rsid w:val="006E2D6E"/>
    <w:rsid w:val="006F0F9E"/>
    <w:rsid w:val="00724DA5"/>
    <w:rsid w:val="007403AF"/>
    <w:rsid w:val="00790ACE"/>
    <w:rsid w:val="007A7717"/>
    <w:rsid w:val="007B10D8"/>
    <w:rsid w:val="007B362B"/>
    <w:rsid w:val="007B76CE"/>
    <w:rsid w:val="007C5E22"/>
    <w:rsid w:val="007E0D5B"/>
    <w:rsid w:val="007E7695"/>
    <w:rsid w:val="0082381A"/>
    <w:rsid w:val="0083209F"/>
    <w:rsid w:val="00845EC6"/>
    <w:rsid w:val="0088637E"/>
    <w:rsid w:val="008A2628"/>
    <w:rsid w:val="008C02AC"/>
    <w:rsid w:val="00906063"/>
    <w:rsid w:val="009250C0"/>
    <w:rsid w:val="009324F0"/>
    <w:rsid w:val="00946AEE"/>
    <w:rsid w:val="0095227C"/>
    <w:rsid w:val="00960861"/>
    <w:rsid w:val="00986E80"/>
    <w:rsid w:val="00991C43"/>
    <w:rsid w:val="009A4A86"/>
    <w:rsid w:val="009A71A1"/>
    <w:rsid w:val="009D4589"/>
    <w:rsid w:val="00A10331"/>
    <w:rsid w:val="00A21F6F"/>
    <w:rsid w:val="00A74D58"/>
    <w:rsid w:val="00A972A0"/>
    <w:rsid w:val="00AA3AEA"/>
    <w:rsid w:val="00AA6CEA"/>
    <w:rsid w:val="00AD475B"/>
    <w:rsid w:val="00AE1F67"/>
    <w:rsid w:val="00B0336B"/>
    <w:rsid w:val="00B54B95"/>
    <w:rsid w:val="00B90FDF"/>
    <w:rsid w:val="00BA5F93"/>
    <w:rsid w:val="00BB380E"/>
    <w:rsid w:val="00BC0AB0"/>
    <w:rsid w:val="00BC5C93"/>
    <w:rsid w:val="00BE339A"/>
    <w:rsid w:val="00BE37D1"/>
    <w:rsid w:val="00C24FEC"/>
    <w:rsid w:val="00C269DE"/>
    <w:rsid w:val="00C50453"/>
    <w:rsid w:val="00C5102B"/>
    <w:rsid w:val="00C71B60"/>
    <w:rsid w:val="00C76C82"/>
    <w:rsid w:val="00C90498"/>
    <w:rsid w:val="00C90773"/>
    <w:rsid w:val="00CA0EF4"/>
    <w:rsid w:val="00CA456A"/>
    <w:rsid w:val="00CD1DFE"/>
    <w:rsid w:val="00CD2549"/>
    <w:rsid w:val="00D10DD7"/>
    <w:rsid w:val="00D521BE"/>
    <w:rsid w:val="00D5633D"/>
    <w:rsid w:val="00D63D86"/>
    <w:rsid w:val="00D8407B"/>
    <w:rsid w:val="00D92113"/>
    <w:rsid w:val="00D941E7"/>
    <w:rsid w:val="00D9478B"/>
    <w:rsid w:val="00DB0882"/>
    <w:rsid w:val="00DD13A3"/>
    <w:rsid w:val="00DD4B28"/>
    <w:rsid w:val="00DF2B29"/>
    <w:rsid w:val="00DF5CD7"/>
    <w:rsid w:val="00DF6C8C"/>
    <w:rsid w:val="00E00F59"/>
    <w:rsid w:val="00E10028"/>
    <w:rsid w:val="00E15E1D"/>
    <w:rsid w:val="00E2428B"/>
    <w:rsid w:val="00E3120C"/>
    <w:rsid w:val="00E316D5"/>
    <w:rsid w:val="00E37227"/>
    <w:rsid w:val="00E52302"/>
    <w:rsid w:val="00E669B3"/>
    <w:rsid w:val="00E97C9E"/>
    <w:rsid w:val="00EA1730"/>
    <w:rsid w:val="00EA6BA8"/>
    <w:rsid w:val="00EC60BB"/>
    <w:rsid w:val="00EF7D25"/>
    <w:rsid w:val="00F247CA"/>
    <w:rsid w:val="00F302F6"/>
    <w:rsid w:val="00F56357"/>
    <w:rsid w:val="00F60008"/>
    <w:rsid w:val="00F60860"/>
    <w:rsid w:val="00F95B0F"/>
    <w:rsid w:val="00F97C0C"/>
    <w:rsid w:val="00FA6CE7"/>
    <w:rsid w:val="00FC26FA"/>
    <w:rsid w:val="00FC2A7F"/>
    <w:rsid w:val="04E864E9"/>
    <w:rsid w:val="147A06B2"/>
    <w:rsid w:val="3EA77A35"/>
    <w:rsid w:val="438E1DEE"/>
    <w:rsid w:val="61784E0B"/>
    <w:rsid w:val="7C2641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US" w:eastAsia="en-US" w:bidi="ar-SA"/>
    </w:rPr>
  </w:style>
  <w:style w:type="paragraph" w:styleId="2">
    <w:name w:val="heading 1"/>
    <w:basedOn w:val="1"/>
    <w:next w:val="1"/>
    <w:qFormat/>
    <w:uiPriority w:val="0"/>
    <w:pPr>
      <w:keepNext/>
      <w:outlineLvl w:val="0"/>
    </w:pPr>
    <w:rPr>
      <w:b/>
      <w:sz w:val="18"/>
    </w:rPr>
  </w:style>
  <w:style w:type="paragraph" w:styleId="3">
    <w:name w:val="heading 2"/>
    <w:basedOn w:val="1"/>
    <w:next w:val="1"/>
    <w:qFormat/>
    <w:uiPriority w:val="0"/>
    <w:pPr>
      <w:keepNext/>
      <w:outlineLvl w:val="1"/>
    </w:pPr>
    <w:rPr>
      <w:b/>
      <w:bCs/>
      <w:szCs w:val="24"/>
    </w:rPr>
  </w:style>
  <w:style w:type="paragraph" w:styleId="4">
    <w:name w:val="heading 3"/>
    <w:basedOn w:val="1"/>
    <w:next w:val="1"/>
    <w:qFormat/>
    <w:uiPriority w:val="0"/>
    <w:pPr>
      <w:keepNext/>
      <w:outlineLvl w:val="2"/>
    </w:pPr>
    <w:rPr>
      <w:b/>
      <w:sz w:val="22"/>
    </w:rPr>
  </w:style>
  <w:style w:type="paragraph" w:styleId="5">
    <w:name w:val="heading 4"/>
    <w:basedOn w:val="1"/>
    <w:next w:val="1"/>
    <w:qFormat/>
    <w:uiPriority w:val="0"/>
    <w:pPr>
      <w:keepNext/>
      <w:jc w:val="center"/>
      <w:outlineLvl w:val="3"/>
    </w:pPr>
    <w:rPr>
      <w:b/>
      <w:sz w:val="24"/>
    </w:rPr>
  </w:style>
  <w:style w:type="paragraph" w:styleId="6">
    <w:name w:val="heading 5"/>
    <w:basedOn w:val="1"/>
    <w:next w:val="1"/>
    <w:link w:val="21"/>
    <w:qFormat/>
    <w:uiPriority w:val="0"/>
    <w:pPr>
      <w:keepNext/>
      <w:outlineLvl w:val="4"/>
    </w:pPr>
    <w:rPr>
      <w:b/>
      <w:bCs/>
      <w:sz w:val="24"/>
      <w:szCs w:val="24"/>
    </w:rPr>
  </w:style>
  <w:style w:type="character" w:default="1" w:styleId="7">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9">
    <w:name w:val="Balloon Text"/>
    <w:basedOn w:val="1"/>
    <w:link w:val="20"/>
    <w:qFormat/>
    <w:uiPriority w:val="0"/>
    <w:rPr>
      <w:rFonts w:ascii="Tahoma" w:hAnsi="Tahoma"/>
      <w:sz w:val="16"/>
      <w:szCs w:val="16"/>
    </w:rPr>
  </w:style>
  <w:style w:type="character" w:styleId="10">
    <w:name w:val="FollowedHyperlink"/>
    <w:qFormat/>
    <w:uiPriority w:val="0"/>
    <w:rPr>
      <w:color w:val="800080"/>
      <w:u w:val="single"/>
    </w:rPr>
  </w:style>
  <w:style w:type="paragraph" w:styleId="11">
    <w:name w:val="footer"/>
    <w:basedOn w:val="1"/>
    <w:link w:val="19"/>
    <w:qFormat/>
    <w:uiPriority w:val="99"/>
    <w:pPr>
      <w:tabs>
        <w:tab w:val="center" w:pos="4680"/>
        <w:tab w:val="right" w:pos="9360"/>
      </w:tabs>
    </w:pPr>
  </w:style>
  <w:style w:type="paragraph" w:styleId="12">
    <w:name w:val="header"/>
    <w:basedOn w:val="1"/>
    <w:link w:val="18"/>
    <w:qFormat/>
    <w:uiPriority w:val="0"/>
    <w:pPr>
      <w:tabs>
        <w:tab w:val="center" w:pos="4680"/>
        <w:tab w:val="right" w:pos="9360"/>
      </w:tabs>
    </w:pPr>
  </w:style>
  <w:style w:type="character" w:styleId="13">
    <w:name w:val="Hyperlink"/>
    <w:qFormat/>
    <w:uiPriority w:val="0"/>
    <w:rPr>
      <w:color w:val="0000FF"/>
      <w:u w:val="single"/>
    </w:rPr>
  </w:style>
  <w:style w:type="paragraph" w:styleId="14">
    <w:name w:val="Normal (Web)"/>
    <w:basedOn w:val="1"/>
    <w:unhideWhenUsed/>
    <w:qFormat/>
    <w:uiPriority w:val="99"/>
    <w:pPr>
      <w:spacing w:before="100" w:beforeAutospacing="1" w:after="100" w:afterAutospacing="1"/>
    </w:pPr>
    <w:rPr>
      <w:sz w:val="24"/>
      <w:szCs w:val="24"/>
    </w:rPr>
  </w:style>
  <w:style w:type="character" w:styleId="15">
    <w:name w:val="Strong"/>
    <w:qFormat/>
    <w:uiPriority w:val="22"/>
    <w:rPr>
      <w:b/>
      <w:bCs/>
    </w:rPr>
  </w:style>
  <w:style w:type="table" w:styleId="16">
    <w:name w:val="Table Grid"/>
    <w:basedOn w:val="8"/>
    <w:qFormat/>
    <w:uiPriority w:val="5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7">
    <w:name w:val="Title"/>
    <w:basedOn w:val="1"/>
    <w:qFormat/>
    <w:uiPriority w:val="0"/>
    <w:pPr>
      <w:jc w:val="center"/>
    </w:pPr>
    <w:rPr>
      <w:b/>
      <w:sz w:val="24"/>
    </w:rPr>
  </w:style>
  <w:style w:type="character" w:customStyle="1" w:styleId="18">
    <w:name w:val="Header Char"/>
    <w:basedOn w:val="7"/>
    <w:link w:val="12"/>
    <w:qFormat/>
    <w:uiPriority w:val="0"/>
  </w:style>
  <w:style w:type="character" w:customStyle="1" w:styleId="19">
    <w:name w:val="Footer Char"/>
    <w:basedOn w:val="7"/>
    <w:link w:val="11"/>
    <w:qFormat/>
    <w:uiPriority w:val="99"/>
  </w:style>
  <w:style w:type="character" w:customStyle="1" w:styleId="20">
    <w:name w:val="Balloon Text Char"/>
    <w:link w:val="9"/>
    <w:qFormat/>
    <w:uiPriority w:val="0"/>
    <w:rPr>
      <w:rFonts w:ascii="Tahoma" w:hAnsi="Tahoma" w:cs="Tahoma"/>
      <w:sz w:val="16"/>
      <w:szCs w:val="16"/>
    </w:rPr>
  </w:style>
  <w:style w:type="character" w:customStyle="1" w:styleId="21">
    <w:name w:val="Heading 5 Char"/>
    <w:link w:val="6"/>
    <w:qFormat/>
    <w:uiPriority w:val="0"/>
    <w:rPr>
      <w:b/>
      <w:bCs/>
      <w:sz w:val="24"/>
      <w:szCs w:val="24"/>
    </w:rPr>
  </w:style>
  <w:style w:type="paragraph" w:styleId="22">
    <w:name w:val="List Paragraph"/>
    <w:basedOn w:val="1"/>
    <w:qFormat/>
    <w:uiPriority w:val="34"/>
    <w:pPr>
      <w:spacing w:after="200" w:line="276" w:lineRule="auto"/>
      <w:ind w:left="720"/>
      <w:contextualSpacing/>
    </w:pPr>
    <w:rPr>
      <w:rFonts w:ascii="Calibri" w:hAnsi="Calibri" w:eastAsia="Calibri"/>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Brooks</Company>
  <Pages>3</Pages>
  <Words>842</Words>
  <Characters>4804</Characters>
  <Lines>40</Lines>
  <Paragraphs>11</Paragraphs>
  <TotalTime>6</TotalTime>
  <ScaleCrop>false</ScaleCrop>
  <LinksUpToDate>false</LinksUpToDate>
  <CharactersWithSpaces>5635</CharactersWithSpaces>
  <Application>WPS Office_11.2.0.10132_F1E327BC-269C-435d-A152-05C5408002CA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2019-01-14T02:41:00Z</dcterms:created>
  <dc:creator>charles brooks</dc:creator>
  <cp:lastModifiedBy>User</cp:lastModifiedBy>
  <cp:lastPrinted>2008-01-09T14:55:00Z</cp:lastPrinted>
  <dcterms:modified xsi:type="dcterms:W3CDTF">2021-05-16T05:21:29Z</dcterms:modified>
  <dc:title>THEATER 101T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1033-11.2.0.10132</vt:lpwstr>
  </property>
</Properties>
</file>